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4512310" cy="1080135"/>
            <wp:effectExtent l="0" t="0" r="2540" b="5715"/>
            <wp:docPr id="3" name="图片 3" descr="supplementary 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ure S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12310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Figure S3. Images of wild type and </w:t>
      </w:r>
      <w:r>
        <w:rPr>
          <w:rFonts w:hint="default" w:ascii="Times New Roman" w:hAnsi="Times New Roman" w:eastAsia="宋体" w:cs="Times New Roman"/>
          <w:b/>
          <w:bCs/>
          <w:i/>
          <w:iCs/>
          <w:sz w:val="24"/>
          <w:szCs w:val="24"/>
        </w:rPr>
        <w:t>rpl23aa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 plants.</w:t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9-day-old plants of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A</w:t>
      </w:r>
      <w:r>
        <w:rPr>
          <w:rFonts w:hint="default" w:ascii="Times New Roman" w:hAnsi="Times New Roman" w:eastAsia="宋体" w:cs="Times New Roman"/>
          <w:sz w:val="24"/>
          <w:szCs w:val="24"/>
        </w:rPr>
        <w:t>) Col-0,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B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) an 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rpl23aa</w:t>
      </w:r>
      <w:r>
        <w:rPr>
          <w:rFonts w:hint="default" w:ascii="Times New Roman" w:hAnsi="Times New Roman" w:eastAsia="宋体" w:cs="Times New Roman"/>
          <w:iCs/>
          <w:sz w:val="24"/>
          <w:szCs w:val="24"/>
        </w:rPr>
        <w:t xml:space="preserve"> plant with two cotyledons,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C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) an 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rpl23aa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plant with three cotyledons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.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Size bar, 5 mm.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62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2020-03-11T06:19:05Z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